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D" w:rsidRPr="003F4CFD" w:rsidRDefault="003F4CFD" w:rsidP="003F4CFD">
      <w:pPr>
        <w:widowControl/>
        <w:spacing w:before="100" w:beforeAutospacing="1" w:after="100" w:afterAutospacing="1" w:line="180" w:lineRule="atLeast"/>
        <w:jc w:val="center"/>
        <w:rPr>
          <w:rFonts w:ascii="Times New Roman" w:eastAsia="標楷體" w:hAnsi="Times New Roman" w:cs="新細明體"/>
          <w:color w:val="333333"/>
          <w:kern w:val="0"/>
          <w:sz w:val="36"/>
          <w:szCs w:val="13"/>
        </w:rPr>
      </w:pPr>
      <w:r w:rsidRPr="003F4CFD">
        <w:rPr>
          <w:rFonts w:ascii="Times New Roman" w:eastAsia="標楷體" w:hAnsi="Verdana" w:cs="新細明體"/>
          <w:b/>
          <w:bCs/>
          <w:color w:val="333333"/>
          <w:kern w:val="0"/>
          <w:sz w:val="36"/>
          <w:szCs w:val="13"/>
        </w:rPr>
        <w:t>國立高雄大學學生運動代表隊參賽費用補助標準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jc w:val="righ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>民國九十四年四月十二日第十七次主管會報通過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jc w:val="righ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>民國九十四年五月十三日第六十四次行政會議通過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Times New Roman" w:cs="新細明體"/>
          <w:color w:val="333333"/>
          <w:kern w:val="0"/>
          <w:szCs w:val="13"/>
        </w:rPr>
        <w:br/>
      </w:r>
      <w:r w:rsidRPr="003F4CFD">
        <w:rPr>
          <w:rFonts w:ascii="Times New Roman" w:eastAsia="標楷體" w:hAnsi="Verdana" w:cs="新細明體"/>
          <w:b/>
          <w:bCs/>
          <w:color w:val="333333"/>
          <w:kern w:val="0"/>
          <w:szCs w:val="13"/>
        </w:rPr>
        <w:t xml:space="preserve">　第一條</w:t>
      </w: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 xml:space="preserve">　本校學生運動代表隊參加運動競賽，為校爭光，特訂定費用補助標準。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Verdana" w:cs="新細明體"/>
          <w:b/>
          <w:bCs/>
          <w:color w:val="333333"/>
          <w:kern w:val="0"/>
          <w:szCs w:val="13"/>
        </w:rPr>
        <w:t xml:space="preserve">　第二條</w:t>
      </w: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 xml:space="preserve">　學生運動代表依照以下標準報支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3927"/>
        <w:gridCol w:w="5278"/>
      </w:tblGrid>
      <w:tr w:rsidR="003F4CFD" w:rsidRPr="003F4CFD" w:rsidTr="003F4CFD">
        <w:trPr>
          <w:trHeight w:val="264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b/>
                <w:bCs/>
                <w:color w:val="333333"/>
                <w:kern w:val="0"/>
              </w:rPr>
              <w:t>項目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b/>
                <w:bCs/>
                <w:color w:val="333333"/>
                <w:kern w:val="0"/>
              </w:rPr>
              <w:t>補助經費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CCFF"/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b/>
                <w:bCs/>
                <w:color w:val="333333"/>
                <w:kern w:val="0"/>
              </w:rPr>
              <w:t>備註</w:t>
            </w:r>
          </w:p>
        </w:tc>
      </w:tr>
      <w:tr w:rsidR="003F4CFD" w:rsidRPr="003F4CFD" w:rsidTr="003F4CFD">
        <w:trPr>
          <w:trHeight w:val="432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雜費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300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元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每人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每日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路程在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30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公里內，酌予補助每人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/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每日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200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元。</w:t>
            </w:r>
          </w:p>
        </w:tc>
      </w:tr>
      <w:tr w:rsidR="003F4CFD" w:rsidRPr="003F4CFD" w:rsidTr="003F4CFD">
        <w:trPr>
          <w:trHeight w:val="300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住宿費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600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元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每人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每日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檢</w:t>
            </w:r>
            <w:proofErr w:type="gramStart"/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據銷核</w:t>
            </w:r>
            <w:proofErr w:type="gramEnd"/>
          </w:p>
        </w:tc>
      </w:tr>
      <w:tr w:rsidR="003F4CFD" w:rsidRPr="003F4CFD" w:rsidTr="003F4CFD">
        <w:trPr>
          <w:trHeight w:val="684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交通費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火車：以自強號票價報支。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</w:t>
            </w:r>
          </w:p>
          <w:p w:rsidR="003F4CFD" w:rsidRPr="003F4CFD" w:rsidRDefault="003F4CFD" w:rsidP="003F4CFD">
            <w:pPr>
              <w:widowControl/>
              <w:spacing w:before="100" w:beforeAutospacing="1" w:after="100" w:afterAutospacing="1"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汽車：以公民營客運汽車支票價報支。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 xml:space="preserve">　</w:t>
            </w:r>
          </w:p>
        </w:tc>
      </w:tr>
      <w:tr w:rsidR="003F4CFD" w:rsidRPr="003F4CFD" w:rsidTr="003F4CFD">
        <w:trPr>
          <w:trHeight w:val="288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賽前營養費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80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元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每人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/ 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每日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補助天數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 xml:space="preserve"> 10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天</w:t>
            </w:r>
          </w:p>
        </w:tc>
      </w:tr>
      <w:tr w:rsidR="003F4CFD" w:rsidRPr="003F4CFD" w:rsidTr="003F4CFD">
        <w:trPr>
          <w:trHeight w:val="468"/>
          <w:tblCellSpacing w:w="0" w:type="dxa"/>
          <w:jc w:val="center"/>
        </w:trPr>
        <w:tc>
          <w:tcPr>
            <w:tcW w:w="12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雜支</w:t>
            </w:r>
          </w:p>
        </w:tc>
        <w:tc>
          <w:tcPr>
            <w:tcW w:w="39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每一隊上限補助為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500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F4CFD" w:rsidRPr="003F4CFD" w:rsidRDefault="003F4CFD" w:rsidP="003F4CFD">
            <w:pPr>
              <w:widowControl/>
              <w:spacing w:line="180" w:lineRule="atLeast"/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</w:pP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檢</w:t>
            </w:r>
            <w:proofErr w:type="gramStart"/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據銷核</w:t>
            </w:r>
            <w:proofErr w:type="gramEnd"/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(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如支付底片、相片沖洗費、醫護用品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...</w:t>
            </w:r>
            <w:r w:rsidRPr="003F4CFD">
              <w:rPr>
                <w:rFonts w:ascii="Times New Roman" w:eastAsia="標楷體" w:hAnsi="Verdana" w:cs="新細明體"/>
                <w:color w:val="333333"/>
                <w:kern w:val="0"/>
                <w:szCs w:val="13"/>
              </w:rPr>
              <w:t>等</w:t>
            </w:r>
            <w:r w:rsidRPr="003F4CFD">
              <w:rPr>
                <w:rFonts w:ascii="Times New Roman" w:eastAsia="標楷體" w:hAnsi="Times New Roman" w:cs="新細明體"/>
                <w:color w:val="333333"/>
                <w:kern w:val="0"/>
                <w:szCs w:val="13"/>
              </w:rPr>
              <w:t>)</w:t>
            </w:r>
          </w:p>
        </w:tc>
      </w:tr>
    </w:tbl>
    <w:p w:rsidR="003F4CFD" w:rsidRPr="003F4CFD" w:rsidRDefault="003F4CFD" w:rsidP="003F4CFD">
      <w:pPr>
        <w:widowControl/>
        <w:spacing w:before="100" w:beforeAutospacing="1" w:after="100" w:afterAutospacing="1" w:line="180" w:lineRule="atLeas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Times New Roman" w:cs="新細明體"/>
          <w:color w:val="333333"/>
          <w:kern w:val="0"/>
          <w:szCs w:val="13"/>
        </w:rPr>
        <w:br/>
      </w:r>
      <w:r w:rsidRPr="003F4CFD">
        <w:rPr>
          <w:rFonts w:ascii="Times New Roman" w:eastAsia="標楷體" w:hAnsi="Verdana" w:cs="新細明體"/>
          <w:b/>
          <w:bCs/>
          <w:color w:val="333333"/>
          <w:kern w:val="0"/>
          <w:szCs w:val="13"/>
        </w:rPr>
        <w:t xml:space="preserve">　第三條</w:t>
      </w: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 xml:space="preserve">　帶隊教職員依照學校公務人員出差旅費標準報支。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Verdana" w:cs="新細明體"/>
          <w:b/>
          <w:bCs/>
          <w:color w:val="333333"/>
          <w:kern w:val="0"/>
          <w:szCs w:val="13"/>
        </w:rPr>
        <w:t xml:space="preserve">　第四條</w:t>
      </w: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 xml:space="preserve">　本標準如有未盡事宜，悉依國內出差旅費報支要點及相關規定處理。</w:t>
      </w:r>
    </w:p>
    <w:p w:rsidR="003F4CFD" w:rsidRPr="003F4CFD" w:rsidRDefault="003F4CFD" w:rsidP="003F4CFD">
      <w:pPr>
        <w:widowControl/>
        <w:spacing w:before="100" w:beforeAutospacing="1" w:after="100" w:afterAutospacing="1" w:line="180" w:lineRule="atLeast"/>
        <w:rPr>
          <w:rFonts w:ascii="Times New Roman" w:eastAsia="標楷體" w:hAnsi="Times New Roman" w:cs="新細明體"/>
          <w:color w:val="333333"/>
          <w:kern w:val="0"/>
          <w:szCs w:val="13"/>
        </w:rPr>
      </w:pPr>
      <w:r w:rsidRPr="003F4CFD">
        <w:rPr>
          <w:rFonts w:ascii="Times New Roman" w:eastAsia="標楷體" w:hAnsi="Verdana" w:cs="新細明體"/>
          <w:b/>
          <w:bCs/>
          <w:color w:val="333333"/>
          <w:kern w:val="0"/>
          <w:szCs w:val="13"/>
        </w:rPr>
        <w:t xml:space="preserve">　第五條</w:t>
      </w:r>
      <w:r w:rsidRPr="003F4CFD">
        <w:rPr>
          <w:rFonts w:ascii="Times New Roman" w:eastAsia="標楷體" w:hAnsi="Verdana" w:cs="新細明體"/>
          <w:color w:val="333333"/>
          <w:kern w:val="0"/>
          <w:szCs w:val="13"/>
        </w:rPr>
        <w:t xml:space="preserve">　本標準經行政會議通過，並經核定後實施，修正時亦同。</w:t>
      </w:r>
    </w:p>
    <w:p w:rsidR="00845CC0" w:rsidRPr="003F4CFD" w:rsidRDefault="003F4CFD">
      <w:pPr>
        <w:rPr>
          <w:rFonts w:ascii="Times New Roman" w:eastAsia="標楷體" w:hAnsi="Times New Roman"/>
        </w:rPr>
      </w:pPr>
    </w:p>
    <w:sectPr w:rsidR="00845CC0" w:rsidRPr="003F4CFD" w:rsidSect="003F4C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CFD"/>
    <w:rsid w:val="003F4CFD"/>
    <w:rsid w:val="00562FC3"/>
    <w:rsid w:val="00AE453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4CFD"/>
    <w:pPr>
      <w:widowControl/>
      <w:spacing w:before="100" w:beforeAutospacing="1" w:after="100" w:afterAutospacing="1" w:line="180" w:lineRule="atLeast"/>
    </w:pPr>
    <w:rPr>
      <w:rFonts w:ascii="Verdana" w:eastAsia="新細明體" w:hAnsi="Verdana" w:cs="新細明體"/>
      <w:color w:val="333333"/>
      <w:kern w:val="0"/>
      <w:sz w:val="13"/>
      <w:szCs w:val="13"/>
    </w:rPr>
  </w:style>
  <w:style w:type="character" w:styleId="a3">
    <w:name w:val="Strong"/>
    <w:basedOn w:val="a0"/>
    <w:uiPriority w:val="22"/>
    <w:qFormat/>
    <w:rsid w:val="003F4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2015-04-24T05:30:00Z</dcterms:created>
  <dcterms:modified xsi:type="dcterms:W3CDTF">2015-04-24T05:32:00Z</dcterms:modified>
</cp:coreProperties>
</file>